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259F3482" w14:textId="77777777" w:rsidR="00DF08FB" w:rsidRPr="00AC6C9C" w:rsidRDefault="00DF08FB" w:rsidP="00DF08FB">
            <w:pPr>
              <w:spacing w:after="0"/>
              <w:ind w:left="136" w:right="135"/>
              <w:jc w:val="both"/>
              <w:rPr>
                <w:rFonts w:ascii="Times New Roman" w:hAnsi="Times New Roman"/>
                <w:b/>
                <w:bCs/>
                <w:sz w:val="24"/>
                <w:szCs w:val="24"/>
              </w:rPr>
            </w:pPr>
            <w:r w:rsidRPr="00AC6C9C">
              <w:rPr>
                <w:rFonts w:ascii="Times New Roman" w:hAnsi="Times New Roman"/>
                <w:sz w:val="24"/>
                <w:szCs w:val="24"/>
              </w:rPr>
              <w:t>Здійснення комплексних заходів з питань приймання та передавання вхідної, внутрішньої та вихідної кореспонденції, шляхом створення запису в облікових даних про документ та оформлення реєстраційно-моніторингової картки у інформаційній системі «Система електронного документообігу органів прокуратури України» (далі – ІС «СЕД»).</w:t>
            </w:r>
          </w:p>
          <w:p w14:paraId="67AE25BB" w14:textId="77777777" w:rsidR="00DF08FB" w:rsidRPr="00AC6C9C" w:rsidRDefault="00DF08FB" w:rsidP="00DF08FB">
            <w:pPr>
              <w:pStyle w:val="2"/>
              <w:spacing w:before="0" w:line="240" w:lineRule="auto"/>
              <w:ind w:left="136" w:right="135" w:hanging="15"/>
              <w:rPr>
                <w:rFonts w:ascii="Times New Roman" w:hAnsi="Times New Roman"/>
                <w:color w:val="000000"/>
                <w:sz w:val="24"/>
                <w:szCs w:val="24"/>
                <w:lang w:val="uk-UA"/>
              </w:rPr>
            </w:pPr>
            <w:r w:rsidRPr="00AC6C9C">
              <w:rPr>
                <w:rFonts w:ascii="Times New Roman" w:hAnsi="Times New Roman"/>
                <w:color w:val="000000"/>
                <w:sz w:val="24"/>
                <w:szCs w:val="24"/>
                <w:lang w:val="uk-UA"/>
              </w:rPr>
              <w:t>Забезпечення ведення діловодства у структурних підрозділах обласної прокуратури відповідно до Розподілу обов’язків між працівниками відділу документального забезпечення обласної прокуратури у відповідності до вимог Тимчасової інструкції з діловодства в органах прокуратури України:</w:t>
            </w:r>
          </w:p>
          <w:p w14:paraId="1EEA7437" w14:textId="77777777" w:rsidR="00DF08FB" w:rsidRPr="00AC6C9C" w:rsidRDefault="00DF08FB" w:rsidP="00DF08FB">
            <w:pPr>
              <w:pStyle w:val="2"/>
              <w:spacing w:before="0" w:line="240" w:lineRule="auto"/>
              <w:ind w:left="136" w:right="135" w:hanging="15"/>
              <w:rPr>
                <w:rFonts w:ascii="Times New Roman" w:hAnsi="Times New Roman"/>
                <w:color w:val="000000"/>
                <w:sz w:val="24"/>
                <w:szCs w:val="24"/>
                <w:lang w:val="uk-UA"/>
              </w:rPr>
            </w:pPr>
            <w:r w:rsidRPr="00AC6C9C">
              <w:rPr>
                <w:rFonts w:ascii="Times New Roman" w:hAnsi="Times New Roman"/>
                <w:color w:val="000000"/>
                <w:sz w:val="24"/>
                <w:szCs w:val="24"/>
                <w:lang w:val="uk-UA"/>
              </w:rPr>
              <w:t>- з</w:t>
            </w:r>
            <w:r w:rsidRPr="00AC6C9C">
              <w:rPr>
                <w:rFonts w:ascii="Times New Roman" w:hAnsi="Times New Roman"/>
                <w:sz w:val="24"/>
                <w:szCs w:val="24"/>
                <w:lang w:val="uk-UA"/>
              </w:rPr>
              <w:t>дійснення приймання документів, що надходять до обласної прокуратури через підсистему «Електронний суд» підсистеми Єдиної судової інформаційно-телекомунікаційної системи з подальшою реєстрацією в ІС «СЕД»;</w:t>
            </w:r>
          </w:p>
          <w:p w14:paraId="2379306F" w14:textId="77777777" w:rsidR="00DF08FB" w:rsidRPr="00AC6C9C" w:rsidRDefault="00DF08FB" w:rsidP="00DF08FB">
            <w:pPr>
              <w:pStyle w:val="2"/>
              <w:spacing w:before="0" w:line="240" w:lineRule="auto"/>
              <w:ind w:left="136" w:right="135" w:hanging="15"/>
              <w:rPr>
                <w:rFonts w:ascii="Times New Roman" w:hAnsi="Times New Roman"/>
                <w:sz w:val="24"/>
                <w:szCs w:val="24"/>
                <w:lang w:val="uk-UA"/>
              </w:rPr>
            </w:pPr>
            <w:r w:rsidRPr="00AC6C9C">
              <w:rPr>
                <w:rFonts w:ascii="Times New Roman" w:hAnsi="Times New Roman"/>
                <w:color w:val="000000"/>
                <w:sz w:val="24"/>
                <w:szCs w:val="24"/>
                <w:lang w:val="uk-UA"/>
              </w:rPr>
              <w:t>- з</w:t>
            </w:r>
            <w:r w:rsidRPr="00AC6C9C">
              <w:rPr>
                <w:rFonts w:ascii="Times New Roman" w:hAnsi="Times New Roman"/>
                <w:sz w:val="24"/>
                <w:szCs w:val="24"/>
                <w:lang w:val="uk-UA"/>
              </w:rPr>
              <w:t>дійснення в</w:t>
            </w:r>
            <w:r w:rsidRPr="00AC6C9C">
              <w:rPr>
                <w:rFonts w:ascii="Times New Roman" w:hAnsi="Times New Roman"/>
                <w:sz w:val="24"/>
                <w:szCs w:val="24"/>
              </w:rPr>
              <w:t>часн</w:t>
            </w:r>
            <w:r w:rsidRPr="00AC6C9C">
              <w:rPr>
                <w:rFonts w:ascii="Times New Roman" w:hAnsi="Times New Roman"/>
                <w:sz w:val="24"/>
                <w:szCs w:val="24"/>
                <w:lang w:val="uk-UA"/>
              </w:rPr>
              <w:t>ої</w:t>
            </w:r>
            <w:r w:rsidRPr="00AC6C9C">
              <w:rPr>
                <w:rFonts w:ascii="Times New Roman" w:hAnsi="Times New Roman"/>
                <w:sz w:val="24"/>
                <w:szCs w:val="24"/>
              </w:rPr>
              <w:t xml:space="preserve"> переда</w:t>
            </w:r>
            <w:r w:rsidRPr="00AC6C9C">
              <w:rPr>
                <w:rFonts w:ascii="Times New Roman" w:hAnsi="Times New Roman"/>
                <w:sz w:val="24"/>
                <w:szCs w:val="24"/>
                <w:lang w:val="uk-UA"/>
              </w:rPr>
              <w:t>чі</w:t>
            </w:r>
            <w:r w:rsidRPr="00AC6C9C">
              <w:rPr>
                <w:rFonts w:ascii="Times New Roman" w:hAnsi="Times New Roman"/>
                <w:sz w:val="24"/>
                <w:szCs w:val="24"/>
              </w:rPr>
              <w:t xml:space="preserve"> документів керівництву та працівникам структурних підрозділів на розгляд та виконання</w:t>
            </w:r>
            <w:r w:rsidRPr="00AC6C9C">
              <w:rPr>
                <w:rFonts w:ascii="Times New Roman" w:hAnsi="Times New Roman"/>
                <w:sz w:val="24"/>
                <w:szCs w:val="24"/>
                <w:lang w:val="uk-UA"/>
              </w:rPr>
              <w:t>. Контроль</w:t>
            </w:r>
            <w:r w:rsidRPr="00AC6C9C">
              <w:rPr>
                <w:rFonts w:ascii="Times New Roman" w:hAnsi="Times New Roman"/>
                <w:sz w:val="24"/>
                <w:szCs w:val="24"/>
              </w:rPr>
              <w:t xml:space="preserve"> за строками виконання документів з контролем виконання </w:t>
            </w:r>
            <w:r w:rsidRPr="00AC6C9C">
              <w:rPr>
                <w:rFonts w:ascii="Times New Roman" w:hAnsi="Times New Roman"/>
                <w:sz w:val="24"/>
                <w:szCs w:val="24"/>
                <w:lang w:val="uk-UA"/>
              </w:rPr>
              <w:t>та доповідь</w:t>
            </w:r>
            <w:r w:rsidRPr="00AC6C9C">
              <w:rPr>
                <w:rFonts w:ascii="Times New Roman" w:hAnsi="Times New Roman"/>
                <w:sz w:val="24"/>
                <w:szCs w:val="24"/>
              </w:rPr>
              <w:t xml:space="preserve"> керівнику підрозділу про затримку їх виконання</w:t>
            </w:r>
            <w:r w:rsidRPr="00AC6C9C">
              <w:rPr>
                <w:rFonts w:ascii="Times New Roman" w:hAnsi="Times New Roman"/>
                <w:sz w:val="24"/>
                <w:szCs w:val="24"/>
                <w:lang w:val="uk-UA"/>
              </w:rPr>
              <w:t>;</w:t>
            </w:r>
          </w:p>
          <w:p w14:paraId="7B43CC9D" w14:textId="1B187773" w:rsidR="00DF08FB" w:rsidRPr="00AC6C9C" w:rsidRDefault="00DF08FB" w:rsidP="00DF08FB">
            <w:pPr>
              <w:pStyle w:val="2"/>
              <w:spacing w:before="0" w:line="240" w:lineRule="auto"/>
              <w:ind w:left="136" w:right="135" w:hanging="15"/>
              <w:rPr>
                <w:rFonts w:ascii="Times New Roman" w:hAnsi="Times New Roman"/>
                <w:color w:val="000000"/>
                <w:sz w:val="24"/>
                <w:szCs w:val="24"/>
                <w:lang w:val="uk-UA"/>
              </w:rPr>
            </w:pPr>
            <w:r w:rsidRPr="00AC6C9C">
              <w:rPr>
                <w:rFonts w:ascii="Times New Roman" w:hAnsi="Times New Roman"/>
                <w:color w:val="000000"/>
                <w:sz w:val="24"/>
                <w:szCs w:val="24"/>
                <w:lang w:val="uk-UA"/>
              </w:rPr>
              <w:t>- здійснення своєчасної передачі матеріалів звернень громадян та юридичних осіб,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запитів на інформацію до відділу організації прийому громадян, розгляду звернень та запитів для вирішення питання взяття на контроль, зняття з контролю або його продовження;</w:t>
            </w:r>
          </w:p>
          <w:p w14:paraId="730DAF60" w14:textId="77777777" w:rsidR="00DF08FB" w:rsidRPr="00AC6C9C" w:rsidRDefault="00DF08FB" w:rsidP="00DF08FB">
            <w:pPr>
              <w:spacing w:after="0" w:line="240" w:lineRule="auto"/>
              <w:ind w:left="136" w:right="135"/>
              <w:jc w:val="both"/>
              <w:rPr>
                <w:rFonts w:ascii="Times New Roman" w:hAnsi="Times New Roman"/>
                <w:color w:val="000000"/>
                <w:sz w:val="24"/>
                <w:szCs w:val="24"/>
              </w:rPr>
            </w:pPr>
            <w:r w:rsidRPr="00AC6C9C">
              <w:rPr>
                <w:rFonts w:ascii="Times New Roman" w:hAnsi="Times New Roman"/>
                <w:color w:val="000000"/>
                <w:sz w:val="24"/>
                <w:szCs w:val="24"/>
              </w:rPr>
              <w:t>- перевірка вихідної кореспонденції, що передається із структурних підрозділів обласної прокуратури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6F0DD7F4" w14:textId="77777777" w:rsidR="00DF08FB" w:rsidRPr="00AC6C9C" w:rsidRDefault="00DF08FB" w:rsidP="00DF08FB">
            <w:pPr>
              <w:pStyle w:val="2"/>
              <w:spacing w:before="0" w:line="240" w:lineRule="auto"/>
              <w:ind w:left="136" w:right="135" w:hanging="15"/>
              <w:rPr>
                <w:rFonts w:ascii="Times New Roman" w:hAnsi="Times New Roman"/>
                <w:color w:val="000000"/>
                <w:sz w:val="24"/>
                <w:szCs w:val="24"/>
                <w:lang w:val="uk-UA"/>
              </w:rPr>
            </w:pPr>
            <w:r w:rsidRPr="00AC6C9C">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0122A301" w14:textId="77777777" w:rsidR="00DF08FB" w:rsidRPr="00AC6C9C" w:rsidRDefault="00DF08FB" w:rsidP="00DF08FB">
            <w:pPr>
              <w:pStyle w:val="2"/>
              <w:spacing w:before="0" w:line="240" w:lineRule="auto"/>
              <w:ind w:left="136" w:right="135" w:hanging="15"/>
              <w:rPr>
                <w:rFonts w:ascii="Times New Roman" w:hAnsi="Times New Roman"/>
                <w:color w:val="000000"/>
                <w:sz w:val="24"/>
                <w:szCs w:val="24"/>
                <w:lang w:val="uk-UA"/>
              </w:rPr>
            </w:pPr>
            <w:r w:rsidRPr="00AC6C9C">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28D41E7A" w14:textId="77777777" w:rsidR="00DF08FB" w:rsidRPr="00AC6C9C" w:rsidRDefault="00DF08FB" w:rsidP="00DF08FB">
            <w:pPr>
              <w:pStyle w:val="2"/>
              <w:spacing w:before="0" w:line="240" w:lineRule="auto"/>
              <w:ind w:left="136" w:right="135" w:hanging="15"/>
              <w:rPr>
                <w:rFonts w:ascii="Times New Roman" w:hAnsi="Times New Roman"/>
                <w:color w:val="000000"/>
                <w:sz w:val="24"/>
                <w:szCs w:val="24"/>
                <w:lang w:val="uk-UA"/>
              </w:rPr>
            </w:pPr>
            <w:r w:rsidRPr="00AC6C9C">
              <w:rPr>
                <w:rFonts w:ascii="Times New Roman" w:hAnsi="Times New Roman"/>
                <w:color w:val="000000"/>
                <w:sz w:val="24"/>
                <w:szCs w:val="24"/>
                <w:lang w:val="uk-UA"/>
              </w:rPr>
              <w:t>- перевірка вихідної кореспонденції, що передається із структурних підрозділів обласної прокуратури вимогам чинного законодавства на правильність її оформлення, наявність грифа обмеження доступу, роздруківки на звороті документа та правильність, зазначеної на роздруківці інформації, наявність додатків, підписів, віз, тощо.</w:t>
            </w:r>
          </w:p>
          <w:p w14:paraId="6CA2023D" w14:textId="77777777" w:rsidR="00DF08FB" w:rsidRPr="00AC6C9C" w:rsidRDefault="00DF08FB" w:rsidP="00DF08FB">
            <w:pPr>
              <w:spacing w:after="0" w:line="240" w:lineRule="auto"/>
              <w:ind w:left="136" w:right="135"/>
              <w:jc w:val="both"/>
              <w:rPr>
                <w:rFonts w:ascii="Times New Roman" w:hAnsi="Times New Roman"/>
                <w:color w:val="000000"/>
                <w:sz w:val="24"/>
                <w:szCs w:val="24"/>
              </w:rPr>
            </w:pPr>
            <w:r w:rsidRPr="00AC6C9C">
              <w:rPr>
                <w:rFonts w:ascii="Times New Roman" w:hAnsi="Times New Roman"/>
                <w:color w:val="000000"/>
                <w:sz w:val="24"/>
                <w:szCs w:val="24"/>
              </w:rPr>
              <w:lastRenderedPageBreak/>
              <w:t>Забезпечення проведення щорічної звірки наявності документів з грифом «Для службового користування» у структурних підрозділах обласної прокуратури, її аналіз та підготовка відповідних довідок.</w:t>
            </w:r>
          </w:p>
          <w:p w14:paraId="1E3CD449" w14:textId="77777777" w:rsidR="00DF08FB" w:rsidRPr="00AC6C9C" w:rsidRDefault="00DF08FB" w:rsidP="00DF08FB">
            <w:pPr>
              <w:spacing w:after="0" w:line="240" w:lineRule="auto"/>
              <w:ind w:left="136" w:right="135"/>
              <w:jc w:val="both"/>
              <w:rPr>
                <w:rFonts w:ascii="Times New Roman" w:hAnsi="Times New Roman"/>
                <w:sz w:val="24"/>
                <w:szCs w:val="24"/>
              </w:rPr>
            </w:pPr>
            <w:r w:rsidRPr="00AC6C9C">
              <w:rPr>
                <w:rFonts w:ascii="Times New Roman" w:hAnsi="Times New Roman"/>
                <w:color w:val="000000"/>
                <w:sz w:val="24"/>
                <w:szCs w:val="24"/>
              </w:rPr>
              <w:t xml:space="preserve">Ведення обліку </w:t>
            </w:r>
            <w:r w:rsidRPr="00AC6C9C">
              <w:rPr>
                <w:rFonts w:ascii="Times New Roman" w:hAnsi="Times New Roman"/>
                <w:sz w:val="24"/>
                <w:szCs w:val="24"/>
              </w:rPr>
              <w:t>вхідних, вихідних і внутрішніх документів, щомісячна підготовка зведення про документообіг. Проведення щоквартальної звірки наглядових проваджень, кримінальних проваджень та інших матеріалів, які знаходяться в провадженні працівників структурних підрозділів, здійснення відміток у картках та книгах обліку.</w:t>
            </w:r>
          </w:p>
          <w:p w14:paraId="1EA8C8F7" w14:textId="77777777" w:rsidR="00DF08FB" w:rsidRPr="00AC6C9C" w:rsidRDefault="00DF08FB" w:rsidP="00DF08FB">
            <w:pPr>
              <w:spacing w:after="0" w:line="240" w:lineRule="auto"/>
              <w:ind w:left="136" w:right="135"/>
              <w:jc w:val="both"/>
              <w:rPr>
                <w:rFonts w:ascii="Times New Roman" w:hAnsi="Times New Roman"/>
                <w:sz w:val="24"/>
                <w:szCs w:val="24"/>
              </w:rPr>
            </w:pPr>
            <w:r w:rsidRPr="00AC6C9C">
              <w:rPr>
                <w:rFonts w:ascii="Times New Roman" w:hAnsi="Times New Roman"/>
                <w:sz w:val="24"/>
                <w:szCs w:val="24"/>
              </w:rPr>
              <w:t>Здійснення заходів з питань розгляду звернень та запитів в частині, що відносяться до компетенції відділу документального забезпечення.</w:t>
            </w:r>
          </w:p>
          <w:p w14:paraId="4C327A68" w14:textId="77777777" w:rsidR="00DF08FB" w:rsidRPr="00AC6C9C" w:rsidRDefault="00DF08FB" w:rsidP="00DF08FB">
            <w:pPr>
              <w:spacing w:after="0" w:line="240" w:lineRule="auto"/>
              <w:ind w:left="136" w:right="135"/>
              <w:jc w:val="both"/>
              <w:rPr>
                <w:rFonts w:ascii="Times New Roman" w:hAnsi="Times New Roman"/>
                <w:sz w:val="24"/>
                <w:szCs w:val="24"/>
              </w:rPr>
            </w:pPr>
            <w:r w:rsidRPr="00AC6C9C">
              <w:rPr>
                <w:rFonts w:ascii="Times New Roman" w:hAnsi="Times New Roman"/>
                <w:sz w:val="24"/>
                <w:szCs w:val="24"/>
              </w:rPr>
              <w:t>Складання проєктів номенклатури справ, погодження у начальників структурних підрозділів та надання практичної і методичної допомоги з цих питань. Щорічна передача архіваріусу обласної прокуратури підсумкових записів про кількість заведених справ у діловодному році, що закінчився.</w:t>
            </w:r>
          </w:p>
          <w:p w14:paraId="478EB6FB" w14:textId="14AB28E8" w:rsidR="00DF08FB" w:rsidRPr="00AC6C9C" w:rsidRDefault="00DF08FB" w:rsidP="00DF08FB">
            <w:pPr>
              <w:spacing w:after="0" w:line="240" w:lineRule="auto"/>
              <w:ind w:left="136" w:right="135"/>
              <w:jc w:val="both"/>
              <w:rPr>
                <w:rFonts w:ascii="Times New Roman" w:hAnsi="Times New Roman"/>
                <w:color w:val="000000"/>
                <w:sz w:val="24"/>
                <w:szCs w:val="24"/>
              </w:rPr>
            </w:pPr>
            <w:r w:rsidRPr="00AC6C9C">
              <w:rPr>
                <w:rFonts w:ascii="Times New Roman" w:hAnsi="Times New Roman"/>
                <w:color w:val="000000"/>
                <w:sz w:val="24"/>
                <w:szCs w:val="24"/>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19BBA8A3" w14:textId="490E94CC" w:rsidR="00160349" w:rsidRPr="00530874" w:rsidRDefault="00DF08FB" w:rsidP="00DF08FB">
            <w:pPr>
              <w:spacing w:after="0" w:line="240" w:lineRule="auto"/>
              <w:ind w:left="136" w:right="135"/>
              <w:jc w:val="both"/>
              <w:rPr>
                <w:rFonts w:ascii="Times New Roman" w:eastAsia="Times New Roman" w:hAnsi="Times New Roman"/>
                <w:sz w:val="24"/>
                <w:szCs w:val="24"/>
                <w:lang w:eastAsia="ru-RU"/>
              </w:rPr>
            </w:pPr>
            <w:r w:rsidRPr="00AC6C9C">
              <w:rPr>
                <w:rFonts w:ascii="Times New Roman" w:hAnsi="Times New Roman"/>
                <w:sz w:val="24"/>
                <w:szCs w:val="24"/>
              </w:rPr>
              <w:t>Виконання доручень керівництва, у тому числі по забезпеченню інших ділянок роботи відділу документального забезпечення</w:t>
            </w:r>
            <w:r w:rsidRPr="008F5DF3">
              <w:rPr>
                <w:rFonts w:ascii="Times New Roman" w:hAnsi="Times New Roman"/>
                <w:sz w:val="28"/>
                <w:szCs w:val="28"/>
              </w:rPr>
              <w:t>.</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A81CC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 </w:t>
            </w:r>
            <w:r w:rsidR="005E0A17" w:rsidRPr="00A81CCD">
              <w:rPr>
                <w:rFonts w:ascii="Times New Roman" w:hAnsi="Times New Roman"/>
                <w:sz w:val="24"/>
                <w:szCs w:val="24"/>
              </w:rPr>
              <w:t>12305</w:t>
            </w:r>
            <w:r w:rsidRPr="00A81CCD">
              <w:rPr>
                <w:rFonts w:ascii="Times New Roman" w:hAnsi="Times New Roman"/>
                <w:sz w:val="24"/>
                <w:szCs w:val="24"/>
              </w:rPr>
              <w:t>, 00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 xml:space="preserve">3) копія облікової картки платника податків (окрім </w:t>
            </w:r>
            <w:r w:rsidRPr="00F876DD">
              <w:rPr>
                <w:rFonts w:ascii="Times New Roman" w:hAnsi="Times New Roman"/>
                <w:color w:val="000000"/>
                <w:sz w:val="24"/>
                <w:szCs w:val="24"/>
              </w:rPr>
              <w:lastRenderedPageBreak/>
              <w:t>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62AE5848"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794835">
              <w:rPr>
                <w:rFonts w:ascii="Times New Roman" w:hAnsi="Times New Roman"/>
                <w:b/>
                <w:bCs/>
                <w:sz w:val="24"/>
                <w:szCs w:val="24"/>
              </w:rPr>
              <w:t xml:space="preserve">до </w:t>
            </w:r>
            <w:r w:rsidRPr="00794835">
              <w:rPr>
                <w:rFonts w:ascii="Times New Roman" w:hAnsi="Times New Roman"/>
                <w:b/>
                <w:sz w:val="24"/>
                <w:szCs w:val="24"/>
              </w:rPr>
              <w:t xml:space="preserve">18 год 00 хв </w:t>
            </w:r>
            <w:r w:rsidR="00A81CCD">
              <w:rPr>
                <w:rFonts w:ascii="Times New Roman" w:hAnsi="Times New Roman"/>
                <w:b/>
                <w:sz w:val="24"/>
                <w:szCs w:val="24"/>
              </w:rPr>
              <w:t>31</w:t>
            </w:r>
            <w:r w:rsidRPr="00794835">
              <w:rPr>
                <w:rFonts w:ascii="Times New Roman" w:hAnsi="Times New Roman"/>
                <w:b/>
                <w:bCs/>
                <w:sz w:val="24"/>
                <w:szCs w:val="24"/>
              </w:rPr>
              <w:t xml:space="preserve"> </w:t>
            </w:r>
            <w:r w:rsidR="005E0A17" w:rsidRPr="00794835">
              <w:rPr>
                <w:rFonts w:ascii="Times New Roman" w:hAnsi="Times New Roman"/>
                <w:b/>
                <w:bCs/>
                <w:sz w:val="24"/>
                <w:szCs w:val="24"/>
              </w:rPr>
              <w:t>березня</w:t>
            </w:r>
            <w:r w:rsidRPr="00794835">
              <w:rPr>
                <w:rFonts w:ascii="Times New Roman" w:hAnsi="Times New Roman"/>
                <w:b/>
                <w:bCs/>
                <w:sz w:val="24"/>
                <w:szCs w:val="24"/>
              </w:rPr>
              <w:t xml:space="preserve"> 202</w:t>
            </w:r>
            <w:r w:rsidR="005E0A17" w:rsidRPr="00794835">
              <w:rPr>
                <w:rFonts w:ascii="Times New Roman" w:hAnsi="Times New Roman"/>
                <w:b/>
                <w:bCs/>
                <w:sz w:val="24"/>
                <w:szCs w:val="24"/>
              </w:rPr>
              <w:t>5</w:t>
            </w:r>
            <w:r w:rsidRPr="00794835">
              <w:rPr>
                <w:rFonts w:ascii="Times New Roman" w:hAnsi="Times New Roman"/>
                <w:b/>
                <w:bCs/>
                <w:sz w:val="24"/>
                <w:szCs w:val="24"/>
              </w:rPr>
              <w:t xml:space="preserve"> року</w:t>
            </w:r>
            <w:r w:rsidRPr="00794835">
              <w:rPr>
                <w:rFonts w:ascii="Times New Roman" w:hAnsi="Times New Roman"/>
                <w:sz w:val="24"/>
                <w:szCs w:val="24"/>
              </w:rPr>
              <w:t xml:space="preserve"> на </w:t>
            </w:r>
            <w:r w:rsidRPr="00794835">
              <w:rPr>
                <w:rFonts w:ascii="Times New Roman" w:hAnsi="Times New Roman"/>
                <w:b/>
                <w:bCs/>
                <w:sz w:val="24"/>
                <w:szCs w:val="24"/>
              </w:rPr>
              <w:t>електронну адресу:</w:t>
            </w:r>
            <w:r w:rsidRPr="00794835">
              <w:rPr>
                <w:rFonts w:ascii="Times New Roman" w:hAnsi="Times New Roman"/>
                <w:sz w:val="24"/>
                <w:szCs w:val="24"/>
              </w:rPr>
              <w:t xml:space="preserve"> </w:t>
            </w:r>
            <w:r w:rsidRPr="00794835">
              <w:rPr>
                <w:rFonts w:ascii="Times New Roman" w:hAnsi="Times New Roman"/>
                <w:sz w:val="24"/>
                <w:szCs w:val="24"/>
                <w:u w:val="single"/>
                <w:lang w:val="en-US" w:eastAsia="ru-RU"/>
              </w:rPr>
              <w:t>kadry</w:t>
            </w:r>
            <w:r w:rsidRPr="00794835">
              <w:rPr>
                <w:rFonts w:ascii="Times New Roman" w:hAnsi="Times New Roman"/>
                <w:sz w:val="24"/>
                <w:szCs w:val="24"/>
                <w:u w:val="single"/>
                <w:lang w:val="ru-RU" w:eastAsia="ru-RU"/>
              </w:rPr>
              <w:t>.</w:t>
            </w:r>
            <w:r w:rsidRPr="00794835">
              <w:rPr>
                <w:rFonts w:ascii="Times New Roman" w:hAnsi="Times New Roman"/>
                <w:sz w:val="24"/>
                <w:szCs w:val="24"/>
                <w:u w:val="single"/>
                <w:lang w:val="en-US" w:eastAsia="ru-RU"/>
              </w:rPr>
              <w:t>prokvin</w:t>
            </w:r>
            <w:r w:rsidRPr="00794835">
              <w:rPr>
                <w:rFonts w:ascii="Times New Roman" w:hAnsi="Times New Roman"/>
                <w:sz w:val="24"/>
                <w:szCs w:val="24"/>
                <w:u w:val="single"/>
                <w:lang w:val="ru-RU" w:eastAsia="ru-RU"/>
              </w:rPr>
              <w:t>@</w:t>
            </w:r>
            <w:r w:rsidRPr="00794835">
              <w:rPr>
                <w:rFonts w:ascii="Times New Roman" w:hAnsi="Times New Roman"/>
                <w:sz w:val="24"/>
                <w:szCs w:val="24"/>
                <w:u w:val="single"/>
                <w:lang w:val="en-US" w:eastAsia="ru-RU"/>
              </w:rPr>
              <w:t>gmail</w:t>
            </w:r>
            <w:r w:rsidRPr="00794835">
              <w:rPr>
                <w:rFonts w:ascii="Times New Roman" w:hAnsi="Times New Roman"/>
                <w:sz w:val="24"/>
                <w:szCs w:val="24"/>
                <w:u w:val="single"/>
                <w:lang w:val="ru-RU" w:eastAsia="ru-RU"/>
              </w:rPr>
              <w:t>.</w:t>
            </w:r>
            <w:r w:rsidRPr="00794835">
              <w:rPr>
                <w:rFonts w:ascii="Times New Roman" w:hAnsi="Times New Roman"/>
                <w:sz w:val="24"/>
                <w:szCs w:val="24"/>
                <w:u w:val="single"/>
                <w:lang w:val="en-US" w:eastAsia="ru-RU"/>
              </w:rPr>
              <w:t>com</w:t>
            </w:r>
            <w:r w:rsidRPr="00794835">
              <w:rPr>
                <w:rFonts w:ascii="Times New Roman" w:hAnsi="Times New Roman"/>
                <w:sz w:val="24"/>
                <w:szCs w:val="24"/>
              </w:rPr>
              <w:t xml:space="preserve"> або </w:t>
            </w:r>
            <w:r w:rsidRPr="00794835">
              <w:rPr>
                <w:rFonts w:ascii="Times New Roman" w:hAnsi="Times New Roman"/>
                <w:bCs/>
                <w:sz w:val="24"/>
                <w:szCs w:val="24"/>
              </w:rPr>
              <w:t xml:space="preserve">безпосередньо </w:t>
            </w:r>
            <w:r w:rsidRPr="00F876DD">
              <w:rPr>
                <w:rFonts w:ascii="Times New Roman" w:hAnsi="Times New Roman"/>
                <w:bCs/>
                <w:sz w:val="24"/>
                <w:szCs w:val="24"/>
              </w:rPr>
              <w:t>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r w:rsidRPr="00F876DD">
              <w:rPr>
                <w:rFonts w:ascii="Times New Roman" w:hAnsi="Times New Roman"/>
                <w:sz w:val="24"/>
                <w:szCs w:val="24"/>
              </w:rPr>
              <w:t>Первачук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r w:rsidRPr="00F876DD">
              <w:rPr>
                <w:rFonts w:ascii="Times New Roman" w:hAnsi="Times New Roman"/>
                <w:sz w:val="24"/>
                <w:szCs w:val="24"/>
              </w:rPr>
              <w:t>тел.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r w:rsidRPr="00F876DD">
              <w:rPr>
                <w:rFonts w:ascii="Times New Roman" w:hAnsi="Times New Roman"/>
                <w:sz w:val="24"/>
                <w:szCs w:val="24"/>
                <w:lang w:eastAsia="ru-RU"/>
              </w:rPr>
              <w:t>ел. пошта:</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lastRenderedPageBreak/>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94835"/>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1CCD"/>
    <w:rsid w:val="00A84454"/>
    <w:rsid w:val="00A86380"/>
    <w:rsid w:val="00AB3C9D"/>
    <w:rsid w:val="00AC138D"/>
    <w:rsid w:val="00AC46FE"/>
    <w:rsid w:val="00AC6C9C"/>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08FB"/>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1436</Words>
  <Characters>8190</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70</cp:revision>
  <cp:lastPrinted>2025-03-24T08:57:00Z</cp:lastPrinted>
  <dcterms:created xsi:type="dcterms:W3CDTF">2022-06-10T12:22:00Z</dcterms:created>
  <dcterms:modified xsi:type="dcterms:W3CDTF">2025-03-24T10:27:00Z</dcterms:modified>
</cp:coreProperties>
</file>